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E4056B">
              <w:t>DERECHO PROCESAL. PROCESO CIVIL Y PROCESO PENAL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Pr="008D4337" w:rsidRDefault="008F6711">
            <w:pPr>
              <w:rPr>
                <w:sz w:val="28"/>
                <w:szCs w:val="28"/>
              </w:rPr>
            </w:pPr>
            <w:r w:rsidRPr="008D4337">
              <w:rPr>
                <w:sz w:val="28"/>
                <w:szCs w:val="28"/>
              </w:rPr>
              <w:t>Experto en Derecho Procesal</w:t>
            </w:r>
          </w:p>
          <w:p w:rsidR="008F6711" w:rsidRPr="008D4337" w:rsidRDefault="008F6711">
            <w:pPr>
              <w:rPr>
                <w:sz w:val="28"/>
                <w:szCs w:val="28"/>
              </w:rPr>
            </w:pPr>
            <w:r w:rsidRPr="008D4337">
              <w:rPr>
                <w:sz w:val="28"/>
                <w:szCs w:val="28"/>
              </w:rPr>
              <w:t>Experiencia investigadora: 2 sexenios.</w:t>
            </w:r>
          </w:p>
          <w:p w:rsidR="001D7F79" w:rsidRPr="008D4337" w:rsidRDefault="008F6711">
            <w:pPr>
              <w:rPr>
                <w:sz w:val="28"/>
                <w:szCs w:val="28"/>
              </w:rPr>
            </w:pPr>
            <w:r w:rsidRPr="008D4337">
              <w:rPr>
                <w:sz w:val="28"/>
                <w:szCs w:val="28"/>
              </w:rPr>
              <w:t>Experiencia docente:  4 quinquenios de docencia</w:t>
            </w:r>
          </w:p>
          <w:p w:rsidR="001D7F79" w:rsidRPr="008D4337" w:rsidRDefault="001D7F79">
            <w:pPr>
              <w:rPr>
                <w:sz w:val="28"/>
                <w:szCs w:val="28"/>
              </w:rPr>
            </w:pPr>
          </w:p>
          <w:p w:rsidR="008F6711" w:rsidRPr="008D4337" w:rsidRDefault="008F6711">
            <w:pPr>
              <w:rPr>
                <w:sz w:val="28"/>
                <w:szCs w:val="28"/>
              </w:rPr>
            </w:pPr>
          </w:p>
          <w:p w:rsidR="008F6711" w:rsidRPr="008D4337" w:rsidRDefault="008F6711">
            <w:pPr>
              <w:rPr>
                <w:sz w:val="28"/>
                <w:szCs w:val="28"/>
              </w:rPr>
            </w:pPr>
          </w:p>
          <w:p w:rsidR="001D7F79" w:rsidRPr="008D4337" w:rsidRDefault="001D7F79">
            <w:pPr>
              <w:rPr>
                <w:sz w:val="28"/>
                <w:szCs w:val="28"/>
              </w:rPr>
            </w:pPr>
          </w:p>
          <w:p w:rsidR="001D7F79" w:rsidRPr="008D4337" w:rsidRDefault="00CC7BB1" w:rsidP="001D7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estima una necesidad de 34 </w:t>
            </w:r>
            <w:bookmarkStart w:id="0" w:name="_GoBack"/>
            <w:bookmarkEnd w:id="0"/>
            <w:r w:rsidR="001D7F79" w:rsidRPr="008D4337">
              <w:rPr>
                <w:sz w:val="28"/>
                <w:szCs w:val="28"/>
              </w:rPr>
              <w:t>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8D4337" w:rsidRDefault="0039521F" w:rsidP="0039521F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D4337">
              <w:rPr>
                <w:sz w:val="28"/>
                <w:szCs w:val="28"/>
              </w:rPr>
              <w:t>Derecho Procesal Civil</w:t>
            </w:r>
          </w:p>
          <w:p w:rsidR="0039521F" w:rsidRPr="008D4337" w:rsidRDefault="0039521F" w:rsidP="0039521F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D4337">
              <w:rPr>
                <w:sz w:val="28"/>
                <w:szCs w:val="28"/>
              </w:rPr>
              <w:t>Derecho Procesal Penal</w:t>
            </w:r>
          </w:p>
          <w:p w:rsidR="001D7F79" w:rsidRPr="008D4337" w:rsidRDefault="0039521F" w:rsidP="0039521F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D4337">
              <w:rPr>
                <w:sz w:val="28"/>
                <w:szCs w:val="28"/>
              </w:rPr>
              <w:t>Derecho Procesal Europeo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F6711" w:rsidRPr="0039521F" w:rsidRDefault="008F6711" w:rsidP="006E5F82">
            <w:pPr>
              <w:rPr>
                <w:sz w:val="28"/>
                <w:szCs w:val="28"/>
              </w:rPr>
            </w:pPr>
          </w:p>
          <w:p w:rsidR="008F6711" w:rsidRPr="0039521F" w:rsidRDefault="008F6711" w:rsidP="006E5F82">
            <w:pPr>
              <w:rPr>
                <w:sz w:val="28"/>
                <w:szCs w:val="28"/>
              </w:rPr>
            </w:pPr>
            <w:r w:rsidRPr="0039521F">
              <w:rPr>
                <w:sz w:val="28"/>
                <w:szCs w:val="28"/>
              </w:rPr>
              <w:t>Selección de Proyectos:</w:t>
            </w:r>
          </w:p>
          <w:p w:rsidR="008F6711" w:rsidRPr="009D0EFD" w:rsidRDefault="008F6711" w:rsidP="008F6711">
            <w:pPr>
              <w:spacing w:before="60"/>
              <w:ind w:right="-568"/>
              <w:jc w:val="both"/>
              <w:rPr>
                <w:sz w:val="28"/>
                <w:szCs w:val="28"/>
              </w:rPr>
            </w:pPr>
            <w:r w:rsidRPr="009D0EFD">
              <w:rPr>
                <w:sz w:val="28"/>
                <w:szCs w:val="28"/>
              </w:rPr>
              <w:t>— Derechos fundamentales y tutela judicial ordinaria, sumaria y cautelar. Entidad financiadora: Dirección General de Enseñanza Superior (DGES). Duración, desde: 1997 hasta: 2000. Investigador responsable: Dr. D. Andrés de la Oliva Santos.</w:t>
            </w:r>
          </w:p>
          <w:p w:rsidR="008F6711" w:rsidRPr="009D0EFD" w:rsidRDefault="008F6711" w:rsidP="008F6711">
            <w:pPr>
              <w:spacing w:before="60"/>
              <w:ind w:right="-568"/>
              <w:jc w:val="both"/>
              <w:rPr>
                <w:sz w:val="28"/>
                <w:szCs w:val="28"/>
              </w:rPr>
            </w:pPr>
            <w:r w:rsidRPr="009D0EFD">
              <w:rPr>
                <w:sz w:val="28"/>
                <w:szCs w:val="28"/>
              </w:rPr>
              <w:t>—Aspectos procesales de la criminalidad organizada. Entidad financiadora: Dirección General de Enseñanza Superior (DGES). Duración, desde: 2001 hasta: 2003. Investigador responsable: Dr. D. Jesús María González García.</w:t>
            </w:r>
          </w:p>
          <w:p w:rsidR="008F6711" w:rsidRPr="009D0EFD" w:rsidRDefault="008F6711" w:rsidP="008F6711">
            <w:pPr>
              <w:spacing w:before="60"/>
              <w:ind w:right="-568"/>
              <w:jc w:val="both"/>
              <w:rPr>
                <w:b/>
                <w:sz w:val="28"/>
                <w:szCs w:val="28"/>
                <w:lang w:val="es-ES_tradnl"/>
              </w:rPr>
            </w:pPr>
            <w:r w:rsidRPr="009D0EFD">
              <w:rPr>
                <w:sz w:val="28"/>
                <w:szCs w:val="28"/>
              </w:rPr>
              <w:t>— La orden de detención y entrega europea. Entidad financiadora: Comunidad de Madrid. Duración, desde: 2005 hasta: 2006. Investigador responsable: Marina Cedeño Hernán.</w:t>
            </w:r>
          </w:p>
          <w:p w:rsidR="008F6711" w:rsidRPr="009D0EFD" w:rsidRDefault="008F6711" w:rsidP="008F6711">
            <w:pPr>
              <w:spacing w:before="60"/>
              <w:ind w:right="-568"/>
              <w:jc w:val="both"/>
              <w:rPr>
                <w:sz w:val="28"/>
                <w:szCs w:val="28"/>
              </w:rPr>
            </w:pPr>
            <w:r w:rsidRPr="009D0EFD">
              <w:rPr>
                <w:sz w:val="28"/>
                <w:szCs w:val="28"/>
              </w:rPr>
              <w:t>— Instrumentos para la cooperación judicial penal en la Unión Europea. Entidad financiadora: Ministerio de Educación y cultura. Duración, desde: 2005 hasta: 2007</w:t>
            </w:r>
            <w:r w:rsidRPr="009D0EFD">
              <w:rPr>
                <w:b/>
                <w:sz w:val="28"/>
                <w:szCs w:val="28"/>
                <w:lang w:val="es-ES_tradnl"/>
              </w:rPr>
              <w:t>.</w:t>
            </w:r>
            <w:r w:rsidRPr="009D0EFD">
              <w:rPr>
                <w:sz w:val="28"/>
                <w:szCs w:val="28"/>
              </w:rPr>
              <w:t xml:space="preserve"> Investigador responsable: Fernando Gascón Inchausti.</w:t>
            </w:r>
          </w:p>
          <w:p w:rsidR="008F6711" w:rsidRPr="009D0EFD" w:rsidRDefault="008F6711" w:rsidP="008F6711">
            <w:pPr>
              <w:spacing w:before="60"/>
              <w:ind w:right="-568"/>
              <w:jc w:val="both"/>
              <w:rPr>
                <w:sz w:val="28"/>
                <w:szCs w:val="28"/>
              </w:rPr>
            </w:pPr>
            <w:r w:rsidRPr="009D0EFD">
              <w:rPr>
                <w:sz w:val="28"/>
                <w:szCs w:val="28"/>
              </w:rPr>
              <w:t>—</w:t>
            </w:r>
            <w:r w:rsidRPr="009D0EFD">
              <w:rPr>
                <w:b/>
                <w:sz w:val="28"/>
                <w:szCs w:val="28"/>
                <w:lang w:val="es-ES_tradnl"/>
              </w:rPr>
              <w:t xml:space="preserve"> </w:t>
            </w:r>
            <w:r w:rsidRPr="009D0EFD">
              <w:rPr>
                <w:sz w:val="28"/>
                <w:szCs w:val="28"/>
              </w:rPr>
              <w:t>Integración europea y armonización de las garantías fundamentales. Entidad financiadora: Ministerio de Educación y Ciencia. Duración, desde: 2006 hasta: 2009</w:t>
            </w:r>
            <w:r w:rsidRPr="009D0EFD">
              <w:rPr>
                <w:b/>
                <w:sz w:val="28"/>
                <w:szCs w:val="28"/>
                <w:lang w:val="es-ES_tradnl"/>
              </w:rPr>
              <w:t xml:space="preserve">. </w:t>
            </w:r>
            <w:r w:rsidRPr="009D0EFD">
              <w:rPr>
                <w:sz w:val="28"/>
                <w:szCs w:val="28"/>
              </w:rPr>
              <w:t xml:space="preserve">Investigador </w:t>
            </w:r>
            <w:r w:rsidRPr="009D0EFD">
              <w:rPr>
                <w:sz w:val="28"/>
                <w:szCs w:val="28"/>
              </w:rPr>
              <w:lastRenderedPageBreak/>
              <w:t>responsable: Lorena Bachmaier Winter.</w:t>
            </w:r>
          </w:p>
          <w:p w:rsidR="008F6711" w:rsidRPr="009D0EFD" w:rsidRDefault="008F6711" w:rsidP="008F6711">
            <w:pPr>
              <w:spacing w:before="60"/>
              <w:ind w:right="-568"/>
              <w:jc w:val="both"/>
              <w:rPr>
                <w:sz w:val="28"/>
                <w:szCs w:val="28"/>
              </w:rPr>
            </w:pPr>
            <w:r w:rsidRPr="009D0EFD">
              <w:rPr>
                <w:sz w:val="28"/>
                <w:szCs w:val="28"/>
              </w:rPr>
              <w:t xml:space="preserve">— La construcción de un Derecho Procesal Europeo en el marco del tratado de Lisboa. Entidad financiadora: Dirección General de Enseñanza Superior (DGES). Duración, desde: 1997 hasta: 2000. Investigador responsable: Dr. D. Andrés de la Oliva Santos. </w:t>
            </w:r>
          </w:p>
          <w:p w:rsidR="008F6711" w:rsidRPr="009D0EFD" w:rsidRDefault="008F6711" w:rsidP="008F6711">
            <w:pPr>
              <w:spacing w:before="60"/>
              <w:ind w:right="-568"/>
              <w:jc w:val="both"/>
              <w:rPr>
                <w:sz w:val="28"/>
                <w:szCs w:val="28"/>
              </w:rPr>
            </w:pPr>
            <w:r w:rsidRPr="009D0EFD">
              <w:rPr>
                <w:sz w:val="28"/>
                <w:szCs w:val="28"/>
              </w:rPr>
              <w:t xml:space="preserve">— </w:t>
            </w:r>
            <w:r w:rsidRPr="009D0EFD">
              <w:rPr>
                <w:bCs/>
                <w:sz w:val="28"/>
                <w:szCs w:val="28"/>
              </w:rPr>
              <w:t>Instrumentos de Justicia Restaurativa en el proceso penal español: hacia una regulación de la mediación penal. Entidad financiadora: Ministerio de Educación y Ciencia. Duración: 2008-2011. Investigador principal: Pedro Garciandía González.</w:t>
            </w:r>
          </w:p>
          <w:p w:rsidR="008F6711" w:rsidRPr="009D0EFD" w:rsidRDefault="008F6711" w:rsidP="008F6711">
            <w:pPr>
              <w:spacing w:before="60"/>
              <w:ind w:right="-568"/>
              <w:jc w:val="both"/>
              <w:rPr>
                <w:sz w:val="28"/>
                <w:szCs w:val="28"/>
              </w:rPr>
            </w:pPr>
            <w:r w:rsidRPr="009D0EFD">
              <w:rPr>
                <w:sz w:val="28"/>
                <w:szCs w:val="28"/>
              </w:rPr>
              <w:t>— El Derecho Procesal Civil Europeo y la implantación de la e-Justicia en la Unión Europea: Plan de estudio y difusión entre operadores jurídicos (Grant Agreement n.º JLS/2008/JCIV/AG/100830CE0306633/00-00). Entidad financiadora: Unión Europea. Coordinador principal del proyecto: Dr. D. Andrés de la Oliva Santos.</w:t>
            </w:r>
          </w:p>
          <w:p w:rsidR="008F6711" w:rsidRDefault="008F6711" w:rsidP="008F6711">
            <w:pPr>
              <w:spacing w:before="60"/>
              <w:ind w:right="-568"/>
              <w:jc w:val="both"/>
              <w:rPr>
                <w:sz w:val="28"/>
                <w:szCs w:val="28"/>
              </w:rPr>
            </w:pPr>
            <w:r w:rsidRPr="009D0EFD">
              <w:rPr>
                <w:sz w:val="28"/>
                <w:szCs w:val="28"/>
              </w:rPr>
              <w:t>— Nuevas tecnologías y derechos fundamentales: posibilidades y límites en el proceso. Duración: 2013-2017. Investigadora principal: Marina Cedeño Hernán.</w:t>
            </w:r>
          </w:p>
          <w:p w:rsidR="0039521F" w:rsidRPr="009D0EFD" w:rsidRDefault="0039521F" w:rsidP="008F6711">
            <w:pPr>
              <w:spacing w:before="60"/>
              <w:ind w:right="-568"/>
              <w:jc w:val="both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─</w:t>
            </w:r>
            <w:r>
              <w:rPr>
                <w:sz w:val="28"/>
                <w:szCs w:val="28"/>
              </w:rPr>
              <w:t xml:space="preserve"> El Tribunal de Justicia de la Unión Europea: su incidencia en la configuración normativa del proceso civil español y en la protección de los derechos fundamentales. Duración: 2016-2019. Investigador principal: Encarnación Aguilera Morales.</w:t>
            </w:r>
          </w:p>
          <w:p w:rsidR="008F6711" w:rsidRDefault="008F6711" w:rsidP="006E5F82"/>
          <w:p w:rsidR="001D7F79" w:rsidRDefault="001D7F79" w:rsidP="008F6711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F6711" w:rsidRDefault="008F6711" w:rsidP="008F6711">
            <w:pPr>
              <w:spacing w:before="60"/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Selección de publicaciones:</w:t>
            </w:r>
          </w:p>
          <w:p w:rsidR="008F6711" w:rsidRPr="008F6711" w:rsidRDefault="008F6711" w:rsidP="008F6711">
            <w:pPr>
              <w:spacing w:before="60"/>
              <w:ind w:right="-568"/>
              <w:jc w:val="both"/>
              <w:rPr>
                <w:sz w:val="28"/>
                <w:szCs w:val="28"/>
              </w:rPr>
            </w:pPr>
            <w:r w:rsidRPr="008F6711">
              <w:rPr>
                <w:sz w:val="28"/>
                <w:szCs w:val="28"/>
              </w:rPr>
              <w:t xml:space="preserve">— </w:t>
            </w:r>
            <w:r w:rsidRPr="008F6711">
              <w:rPr>
                <w:rStyle w:val="Textoennegrita"/>
                <w:b w:val="0"/>
                <w:i/>
                <w:sz w:val="28"/>
                <w:szCs w:val="28"/>
              </w:rPr>
              <w:t>La tutela de los terceros frente al fraude procesal</w:t>
            </w:r>
            <w:r w:rsidRPr="008F6711">
              <w:rPr>
                <w:rStyle w:val="Textoennegrita"/>
                <w:b w:val="0"/>
                <w:sz w:val="28"/>
                <w:szCs w:val="28"/>
              </w:rPr>
              <w:t>,</w:t>
            </w:r>
            <w:r w:rsidRPr="008F6711">
              <w:rPr>
                <w:sz w:val="28"/>
                <w:szCs w:val="28"/>
              </w:rPr>
              <w:t xml:space="preserve"> Ed.  Comares, 1997. </w:t>
            </w:r>
          </w:p>
          <w:p w:rsidR="008F6711" w:rsidRPr="008F6711" w:rsidRDefault="008F6711" w:rsidP="008F6711">
            <w:pPr>
              <w:spacing w:before="60"/>
              <w:ind w:right="-568"/>
              <w:jc w:val="both"/>
              <w:rPr>
                <w:sz w:val="28"/>
                <w:szCs w:val="28"/>
              </w:rPr>
            </w:pPr>
            <w:r w:rsidRPr="008F6711">
              <w:rPr>
                <w:sz w:val="28"/>
                <w:szCs w:val="28"/>
              </w:rPr>
              <w:t xml:space="preserve">— </w:t>
            </w:r>
            <w:r w:rsidRPr="008F6711">
              <w:rPr>
                <w:i/>
                <w:sz w:val="28"/>
                <w:szCs w:val="28"/>
              </w:rPr>
              <w:t>Comentarios a la Ley del Jurado</w:t>
            </w:r>
            <w:r w:rsidRPr="008F6711">
              <w:rPr>
                <w:sz w:val="28"/>
                <w:szCs w:val="28"/>
              </w:rPr>
              <w:t xml:space="preserve"> (coord. De la Oliva Santos). Ed. Centro de Estudios Ramón Areces, Madrid, 1999.</w:t>
            </w:r>
          </w:p>
          <w:p w:rsidR="008F6711" w:rsidRPr="008F6711" w:rsidRDefault="008F6711" w:rsidP="008F6711">
            <w:pPr>
              <w:spacing w:before="60"/>
              <w:ind w:right="-568"/>
              <w:jc w:val="both"/>
              <w:rPr>
                <w:sz w:val="28"/>
                <w:szCs w:val="28"/>
              </w:rPr>
            </w:pPr>
            <w:r w:rsidRPr="008F6711">
              <w:rPr>
                <w:sz w:val="28"/>
                <w:szCs w:val="28"/>
              </w:rPr>
              <w:t>—</w:t>
            </w:r>
            <w:r w:rsidRPr="008F6711">
              <w:rPr>
                <w:rStyle w:val="Textoennegrita"/>
                <w:sz w:val="28"/>
                <w:szCs w:val="28"/>
              </w:rPr>
              <w:t xml:space="preserve"> </w:t>
            </w:r>
            <w:r w:rsidRPr="008F6711">
              <w:rPr>
                <w:rStyle w:val="Textoennegrita"/>
                <w:b w:val="0"/>
                <w:sz w:val="28"/>
                <w:szCs w:val="28"/>
              </w:rPr>
              <w:t>Una nueva perspectiva del Tribunal Constitucional en torno a la presunción de inocencia</w:t>
            </w:r>
            <w:r w:rsidRPr="008F6711">
              <w:rPr>
                <w:sz w:val="28"/>
                <w:szCs w:val="28"/>
              </w:rPr>
              <w:t xml:space="preserve"> en </w:t>
            </w:r>
            <w:r w:rsidRPr="008F6711">
              <w:rPr>
                <w:rStyle w:val="nfasis"/>
                <w:sz w:val="28"/>
                <w:szCs w:val="28"/>
              </w:rPr>
              <w:t>Cuadernos de Derecho Público</w:t>
            </w:r>
            <w:r w:rsidRPr="008F6711">
              <w:rPr>
                <w:sz w:val="28"/>
                <w:szCs w:val="28"/>
              </w:rPr>
              <w:t xml:space="preserve">, 2000. </w:t>
            </w:r>
          </w:p>
          <w:p w:rsidR="008F6711" w:rsidRPr="008F6711" w:rsidRDefault="008F6711" w:rsidP="008F6711">
            <w:pPr>
              <w:spacing w:before="60"/>
              <w:ind w:right="-568"/>
              <w:jc w:val="both"/>
              <w:rPr>
                <w:sz w:val="28"/>
                <w:szCs w:val="28"/>
                <w:lang w:val="es-ES_tradnl"/>
              </w:rPr>
            </w:pPr>
            <w:r w:rsidRPr="008F6711">
              <w:rPr>
                <w:sz w:val="28"/>
                <w:szCs w:val="28"/>
              </w:rPr>
              <w:t>—</w:t>
            </w:r>
            <w:r w:rsidRPr="008F6711">
              <w:rPr>
                <w:rStyle w:val="Textoennegrita"/>
                <w:sz w:val="28"/>
                <w:szCs w:val="28"/>
              </w:rPr>
              <w:t xml:space="preserve">  </w:t>
            </w:r>
            <w:r w:rsidRPr="008F6711">
              <w:rPr>
                <w:rStyle w:val="Textoennegrita"/>
                <w:b w:val="0"/>
                <w:sz w:val="28"/>
                <w:szCs w:val="28"/>
              </w:rPr>
              <w:t>Algunas cuestiones suscitadas en torno a las partes en el proceso civil, en Cuadernos de Derecho Judicial. Fecha: 2002.</w:t>
            </w:r>
          </w:p>
          <w:p w:rsidR="008F6711" w:rsidRPr="008F6711" w:rsidRDefault="008F6711" w:rsidP="008F6711">
            <w:pPr>
              <w:spacing w:before="60"/>
              <w:ind w:right="-568"/>
              <w:jc w:val="both"/>
              <w:rPr>
                <w:sz w:val="28"/>
                <w:szCs w:val="28"/>
              </w:rPr>
            </w:pPr>
            <w:r w:rsidRPr="008F6711">
              <w:rPr>
                <w:sz w:val="28"/>
                <w:szCs w:val="28"/>
              </w:rPr>
              <w:t xml:space="preserve">— </w:t>
            </w:r>
            <w:r w:rsidRPr="008F6711">
              <w:rPr>
                <w:rStyle w:val="Textoennegrita"/>
                <w:b w:val="0"/>
                <w:i/>
                <w:sz w:val="28"/>
                <w:szCs w:val="28"/>
              </w:rPr>
              <w:t>Retribución de Abogados y Procuradores: la llamada “jura de cuentas”</w:t>
            </w:r>
            <w:r w:rsidRPr="008F6711">
              <w:rPr>
                <w:sz w:val="28"/>
                <w:szCs w:val="28"/>
              </w:rPr>
              <w:t>. Ed. Aranzadi, 2002.</w:t>
            </w:r>
          </w:p>
          <w:p w:rsidR="008F6711" w:rsidRPr="008F6711" w:rsidRDefault="008F6711" w:rsidP="008F6711">
            <w:pPr>
              <w:spacing w:before="60"/>
              <w:ind w:right="-568"/>
              <w:jc w:val="both"/>
              <w:rPr>
                <w:rStyle w:val="Textoennegrita"/>
                <w:b w:val="0"/>
                <w:bCs w:val="0"/>
                <w:sz w:val="28"/>
                <w:szCs w:val="28"/>
                <w:lang w:val="es-ES_tradnl"/>
              </w:rPr>
            </w:pPr>
            <w:r w:rsidRPr="008F6711">
              <w:rPr>
                <w:b/>
                <w:sz w:val="28"/>
                <w:szCs w:val="28"/>
              </w:rPr>
              <w:t>—</w:t>
            </w:r>
            <w:r w:rsidRPr="008F6711">
              <w:rPr>
                <w:rStyle w:val="Textoennegrita"/>
                <w:b w:val="0"/>
                <w:sz w:val="28"/>
                <w:szCs w:val="28"/>
              </w:rPr>
              <w:t xml:space="preserve">Ley de Enjuiciamiento Civil: Respuestas a 100 cuestiones </w:t>
            </w:r>
            <w:r w:rsidRPr="008F6711">
              <w:rPr>
                <w:rStyle w:val="Textoennegrita"/>
                <w:b w:val="0"/>
                <w:sz w:val="28"/>
                <w:szCs w:val="28"/>
              </w:rPr>
              <w:lastRenderedPageBreak/>
              <w:t>polémicas (con Varios autores). Ed. Sepin, 2002.</w:t>
            </w:r>
          </w:p>
          <w:p w:rsidR="008F6711" w:rsidRPr="008F6711" w:rsidRDefault="008F6711" w:rsidP="008F6711">
            <w:pPr>
              <w:spacing w:before="60"/>
              <w:ind w:right="-568"/>
              <w:jc w:val="both"/>
              <w:rPr>
                <w:rStyle w:val="Textoennegrita"/>
                <w:b w:val="0"/>
                <w:sz w:val="28"/>
                <w:szCs w:val="28"/>
              </w:rPr>
            </w:pPr>
            <w:r w:rsidRPr="008F6711">
              <w:rPr>
                <w:b/>
                <w:sz w:val="28"/>
                <w:szCs w:val="28"/>
              </w:rPr>
              <w:t xml:space="preserve">— </w:t>
            </w:r>
            <w:r w:rsidRPr="008F6711">
              <w:rPr>
                <w:rStyle w:val="Textoennegrita"/>
                <w:b w:val="0"/>
                <w:sz w:val="28"/>
                <w:szCs w:val="28"/>
              </w:rPr>
              <w:t xml:space="preserve">La orden de detención y entrega europea: el non bis in idem como motivo de denegación, en </w:t>
            </w:r>
            <w:r w:rsidRPr="008F6711">
              <w:rPr>
                <w:rStyle w:val="Textoennegrita"/>
                <w:b w:val="0"/>
                <w:i/>
                <w:sz w:val="28"/>
                <w:szCs w:val="28"/>
              </w:rPr>
              <w:t>El Derecho Procesal Penal en la Unión Europea.</w:t>
            </w:r>
            <w:r w:rsidRPr="008F6711">
              <w:rPr>
                <w:rStyle w:val="Textoennegrita"/>
                <w:b w:val="0"/>
                <w:sz w:val="28"/>
                <w:szCs w:val="28"/>
              </w:rPr>
              <w:t xml:space="preserve"> Editorial Colex, 2006.</w:t>
            </w:r>
          </w:p>
          <w:p w:rsidR="008F6711" w:rsidRPr="008F6711" w:rsidRDefault="008F6711" w:rsidP="008F6711">
            <w:pPr>
              <w:spacing w:before="60"/>
              <w:ind w:right="-568"/>
              <w:jc w:val="both"/>
              <w:rPr>
                <w:sz w:val="28"/>
                <w:szCs w:val="28"/>
                <w:lang w:val="es-ES_tradnl"/>
              </w:rPr>
            </w:pPr>
            <w:r w:rsidRPr="008F6711">
              <w:rPr>
                <w:sz w:val="28"/>
                <w:szCs w:val="28"/>
              </w:rPr>
              <w:t xml:space="preserve">— </w:t>
            </w:r>
            <w:r w:rsidRPr="008F6711">
              <w:rPr>
                <w:sz w:val="28"/>
                <w:szCs w:val="28"/>
                <w:lang w:val="es-ES_tradnl"/>
              </w:rPr>
              <w:t xml:space="preserve">El «principio» </w:t>
            </w:r>
            <w:r w:rsidRPr="008F6711">
              <w:rPr>
                <w:i/>
                <w:sz w:val="28"/>
                <w:szCs w:val="28"/>
                <w:lang w:val="es-ES_tradnl"/>
              </w:rPr>
              <w:t>non bis in idem</w:t>
            </w:r>
            <w:r w:rsidRPr="008F6711">
              <w:rPr>
                <w:sz w:val="28"/>
                <w:szCs w:val="28"/>
                <w:lang w:val="es-ES_tradnl"/>
              </w:rPr>
              <w:t xml:space="preserve"> a la luz de la jurisprudencia del TJCE (con Aguilera Morales), en la obra colectiva </w:t>
            </w:r>
            <w:r w:rsidRPr="008F6711">
              <w:rPr>
                <w:i/>
                <w:sz w:val="28"/>
                <w:szCs w:val="28"/>
                <w:lang w:val="es-ES_tradnl"/>
              </w:rPr>
              <w:t xml:space="preserve">Justicia y Carta de Derechos Fundamentales en la Unión Europea </w:t>
            </w:r>
            <w:r w:rsidRPr="008F6711">
              <w:rPr>
                <w:sz w:val="28"/>
                <w:szCs w:val="28"/>
                <w:lang w:val="es-ES_tradnl"/>
              </w:rPr>
              <w:t>(Dir. De la Oliva Santos), Ed. Colex, Madrid, 2008.</w:t>
            </w:r>
          </w:p>
          <w:p w:rsidR="008F6711" w:rsidRPr="008F6711" w:rsidRDefault="008F6711" w:rsidP="008F6711">
            <w:pPr>
              <w:spacing w:before="60"/>
              <w:ind w:right="-568"/>
              <w:jc w:val="both"/>
              <w:rPr>
                <w:sz w:val="28"/>
                <w:szCs w:val="28"/>
                <w:lang w:val="es-ES_tradnl"/>
              </w:rPr>
            </w:pPr>
            <w:r w:rsidRPr="008F6711">
              <w:rPr>
                <w:sz w:val="28"/>
                <w:szCs w:val="28"/>
              </w:rPr>
              <w:t xml:space="preserve">— </w:t>
            </w:r>
            <w:r w:rsidRPr="008F6711">
              <w:rPr>
                <w:i/>
                <w:sz w:val="28"/>
                <w:szCs w:val="28"/>
              </w:rPr>
              <w:t>La orden de detención y entrega europea: los motivos de denegación y condicionamiento de la entrega.</w:t>
            </w:r>
            <w:r w:rsidRPr="008F6711">
              <w:rPr>
                <w:sz w:val="28"/>
                <w:szCs w:val="28"/>
              </w:rPr>
              <w:t xml:space="preserve"> Ed. Civitas, 2010.</w:t>
            </w:r>
          </w:p>
          <w:p w:rsidR="008F6711" w:rsidRPr="008F6711" w:rsidRDefault="008F6711" w:rsidP="008F6711">
            <w:pPr>
              <w:spacing w:before="60"/>
              <w:ind w:right="-568"/>
              <w:jc w:val="both"/>
              <w:rPr>
                <w:sz w:val="28"/>
                <w:szCs w:val="28"/>
                <w:lang w:val="es-ES_tradnl"/>
              </w:rPr>
            </w:pPr>
            <w:r w:rsidRPr="008F6711">
              <w:rPr>
                <w:sz w:val="28"/>
                <w:szCs w:val="28"/>
              </w:rPr>
              <w:t xml:space="preserve">— </w:t>
            </w:r>
            <w:r w:rsidRPr="008F6711">
              <w:rPr>
                <w:sz w:val="28"/>
                <w:szCs w:val="28"/>
                <w:lang w:val="es-ES_tradnl"/>
              </w:rPr>
              <w:t xml:space="preserve">«Los fueros exclusivos de competencia internacional», en </w:t>
            </w:r>
            <w:r w:rsidRPr="008F6711">
              <w:rPr>
                <w:i/>
                <w:sz w:val="28"/>
                <w:szCs w:val="28"/>
                <w:lang w:val="es-ES_tradnl"/>
              </w:rPr>
              <w:t>Derecho Procesal Civil Europeo, Vol. I</w:t>
            </w:r>
            <w:r w:rsidRPr="008F6711">
              <w:rPr>
                <w:sz w:val="28"/>
                <w:szCs w:val="28"/>
                <w:lang w:val="es-ES_tradnl"/>
              </w:rPr>
              <w:t xml:space="preserve"> (Dir. A. de la Oliva Santos. Coord. Fernando Gascón), Ed. Aranzadi, 2011. </w:t>
            </w:r>
          </w:p>
          <w:p w:rsidR="008F6711" w:rsidRPr="008F6711" w:rsidRDefault="008F6711" w:rsidP="008F6711">
            <w:pPr>
              <w:spacing w:before="60"/>
              <w:ind w:right="-568"/>
              <w:jc w:val="both"/>
              <w:rPr>
                <w:sz w:val="28"/>
                <w:szCs w:val="28"/>
              </w:rPr>
            </w:pPr>
            <w:r w:rsidRPr="008F6711">
              <w:rPr>
                <w:sz w:val="28"/>
                <w:szCs w:val="28"/>
                <w:lang w:val="es-ES_tradnl"/>
              </w:rPr>
              <w:t xml:space="preserve"> </w:t>
            </w:r>
            <w:r w:rsidRPr="008F6711">
              <w:rPr>
                <w:sz w:val="28"/>
                <w:szCs w:val="28"/>
              </w:rPr>
              <w:t xml:space="preserve">— «El reconocimiento mutuo de resoluciones dictadas a raíz de juicios celebrados en rebeldía del acusado», en </w:t>
            </w:r>
            <w:r w:rsidRPr="008F6711">
              <w:rPr>
                <w:i/>
                <w:sz w:val="28"/>
                <w:szCs w:val="28"/>
              </w:rPr>
              <w:t>La armonización del Derecho Procesal tras el Tratado de Lisboa</w:t>
            </w:r>
            <w:r w:rsidRPr="008F6711">
              <w:rPr>
                <w:sz w:val="28"/>
                <w:szCs w:val="28"/>
              </w:rPr>
              <w:t>, Ed. Aranzadi, 2012.</w:t>
            </w:r>
          </w:p>
          <w:p w:rsidR="008F6711" w:rsidRPr="008F6711" w:rsidRDefault="008F6711" w:rsidP="008F6711">
            <w:pPr>
              <w:spacing w:before="60"/>
              <w:ind w:right="-568"/>
              <w:jc w:val="both"/>
              <w:rPr>
                <w:sz w:val="28"/>
                <w:szCs w:val="28"/>
              </w:rPr>
            </w:pPr>
            <w:r w:rsidRPr="008F6711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«Las garantías del proceso equitativo en el ámbito penal, en»</w:t>
            </w:r>
            <w:r w:rsidRPr="008F6711">
              <w:rPr>
                <w:sz w:val="28"/>
                <w:szCs w:val="28"/>
              </w:rPr>
              <w:t xml:space="preserve"> </w:t>
            </w:r>
            <w:r w:rsidRPr="008F6711">
              <w:rPr>
                <w:i/>
                <w:sz w:val="28"/>
                <w:szCs w:val="28"/>
              </w:rPr>
              <w:t xml:space="preserve">Conflicto y diálogo con Europa. Las condenas a España por el Tribunal Europeo de Derechos Humanos, </w:t>
            </w:r>
            <w:r w:rsidRPr="008F6711">
              <w:rPr>
                <w:sz w:val="28"/>
                <w:szCs w:val="28"/>
              </w:rPr>
              <w:t>Ed. Civitas, 2013.</w:t>
            </w:r>
          </w:p>
          <w:p w:rsidR="008F6711" w:rsidRPr="008F6711" w:rsidRDefault="008F6711" w:rsidP="008F6711">
            <w:pPr>
              <w:spacing w:before="60"/>
              <w:ind w:right="-568"/>
              <w:jc w:val="both"/>
              <w:rPr>
                <w:sz w:val="28"/>
                <w:szCs w:val="28"/>
                <w:lang w:val="es-ES_tradnl"/>
              </w:rPr>
            </w:pPr>
            <w:r w:rsidRPr="008F6711">
              <w:rPr>
                <w:sz w:val="28"/>
                <w:szCs w:val="28"/>
                <w:lang w:val="es-ES_tradnl"/>
              </w:rPr>
              <w:t xml:space="preserve">— </w:t>
            </w:r>
            <w:r w:rsidRPr="008F6711">
              <w:rPr>
                <w:sz w:val="28"/>
                <w:szCs w:val="28"/>
              </w:rPr>
              <w:t xml:space="preserve">«La tutela del ejecutado frente a cláusulas abusivas en el proceso de ejecución hipotecaria. Crónica de cómo legislar al compás del Tribunal de Justicia de la Unión Europea», en </w:t>
            </w:r>
            <w:r w:rsidRPr="008F6711">
              <w:rPr>
                <w:i/>
                <w:color w:val="222222"/>
                <w:sz w:val="28"/>
                <w:szCs w:val="28"/>
              </w:rPr>
              <w:t xml:space="preserve">Derecho, Justicia, Universidad, Liber amicorum de Andrés de la Oliva Santos, </w:t>
            </w:r>
            <w:r w:rsidRPr="008F6711">
              <w:rPr>
                <w:color w:val="222222"/>
                <w:sz w:val="28"/>
                <w:szCs w:val="28"/>
              </w:rPr>
              <w:t>Editorial Universitaria Ramón Areces, 2016</w:t>
            </w:r>
          </w:p>
          <w:p w:rsidR="008F6711" w:rsidRPr="008F6711" w:rsidRDefault="008F6711" w:rsidP="008F6711">
            <w:pPr>
              <w:spacing w:before="60"/>
              <w:ind w:right="-568"/>
              <w:jc w:val="both"/>
              <w:rPr>
                <w:sz w:val="28"/>
                <w:szCs w:val="28"/>
                <w:lang w:val="es-ES_tradnl"/>
              </w:rPr>
            </w:pPr>
            <w:r w:rsidRPr="008F6711">
              <w:rPr>
                <w:sz w:val="28"/>
                <w:szCs w:val="28"/>
                <w:lang w:val="es-ES_tradnl"/>
              </w:rPr>
              <w:t xml:space="preserve">— </w:t>
            </w:r>
            <w:r w:rsidRPr="008F6711">
              <w:rPr>
                <w:i/>
                <w:sz w:val="28"/>
                <w:szCs w:val="28"/>
                <w:lang w:val="es-ES_tradnl"/>
              </w:rPr>
              <w:t>Nuevas tecnologías y derechos fundamentales en el proceso</w:t>
            </w:r>
            <w:r w:rsidRPr="008F6711">
              <w:rPr>
                <w:sz w:val="28"/>
                <w:szCs w:val="28"/>
                <w:lang w:val="es-ES_tradnl"/>
              </w:rPr>
              <w:t>, (coordinadora), Ed. Aranzadi, 2017.</w:t>
            </w:r>
          </w:p>
          <w:p w:rsidR="008F6711" w:rsidRPr="008F6711" w:rsidRDefault="008F6711" w:rsidP="008F6711">
            <w:pPr>
              <w:spacing w:before="60"/>
              <w:ind w:right="-568"/>
              <w:jc w:val="both"/>
              <w:rPr>
                <w:sz w:val="28"/>
                <w:szCs w:val="28"/>
                <w:lang w:val="es-ES_tradnl"/>
              </w:rPr>
            </w:pPr>
            <w:r w:rsidRPr="008F6711">
              <w:rPr>
                <w:sz w:val="28"/>
                <w:szCs w:val="28"/>
                <w:lang w:val="es-ES_tradnl"/>
              </w:rPr>
              <w:t xml:space="preserve">— “Ciudadanía de la Unión y extradición”, en </w:t>
            </w:r>
            <w:r w:rsidRPr="008F6711">
              <w:rPr>
                <w:i/>
                <w:sz w:val="28"/>
                <w:szCs w:val="28"/>
                <w:lang w:val="es-ES_tradnl"/>
              </w:rPr>
              <w:t>Revista General de Derecho Europeo</w:t>
            </w:r>
            <w:r w:rsidRPr="008F6711">
              <w:rPr>
                <w:sz w:val="28"/>
                <w:szCs w:val="28"/>
                <w:lang w:val="es-ES_tradnl"/>
              </w:rPr>
              <w:t>, núm. 46, octubre de 2018.</w:t>
            </w:r>
          </w:p>
          <w:p w:rsidR="001D7F79" w:rsidRDefault="001D7F79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39521F" w:rsidRDefault="008F6711" w:rsidP="00C875F1">
            <w:pPr>
              <w:rPr>
                <w:sz w:val="28"/>
                <w:szCs w:val="28"/>
              </w:rPr>
            </w:pPr>
            <w:r w:rsidRPr="0039521F">
              <w:rPr>
                <w:sz w:val="28"/>
                <w:szCs w:val="28"/>
              </w:rPr>
              <w:t>Nombrada Juez Sustituta por el Consejo General del Poder Judicial durante el año 1999 y 2000.</w:t>
            </w:r>
          </w:p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03" w:rsidRDefault="00604803" w:rsidP="001D7F79">
      <w:pPr>
        <w:spacing w:after="0" w:line="240" w:lineRule="auto"/>
      </w:pPr>
      <w:r>
        <w:separator/>
      </w:r>
    </w:p>
  </w:endnote>
  <w:endnote w:type="continuationSeparator" w:id="0">
    <w:p w:rsidR="00604803" w:rsidRDefault="00604803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03" w:rsidRDefault="00604803" w:rsidP="001D7F79">
      <w:pPr>
        <w:spacing w:after="0" w:line="240" w:lineRule="auto"/>
      </w:pPr>
      <w:r>
        <w:separator/>
      </w:r>
    </w:p>
  </w:footnote>
  <w:footnote w:type="continuationSeparator" w:id="0">
    <w:p w:rsidR="00604803" w:rsidRDefault="00604803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996"/>
    <w:multiLevelType w:val="hybridMultilevel"/>
    <w:tmpl w:val="C73272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E0289"/>
    <w:rsid w:val="0039521F"/>
    <w:rsid w:val="003A369F"/>
    <w:rsid w:val="004D76B6"/>
    <w:rsid w:val="00506DA3"/>
    <w:rsid w:val="0055671E"/>
    <w:rsid w:val="005B38F9"/>
    <w:rsid w:val="00604803"/>
    <w:rsid w:val="006A0346"/>
    <w:rsid w:val="006E5F82"/>
    <w:rsid w:val="0072020E"/>
    <w:rsid w:val="007579F8"/>
    <w:rsid w:val="00760D07"/>
    <w:rsid w:val="00780D55"/>
    <w:rsid w:val="00863858"/>
    <w:rsid w:val="008D4337"/>
    <w:rsid w:val="008F6711"/>
    <w:rsid w:val="00905815"/>
    <w:rsid w:val="00974CD4"/>
    <w:rsid w:val="00990AA2"/>
    <w:rsid w:val="00AA6974"/>
    <w:rsid w:val="00B32F6A"/>
    <w:rsid w:val="00C51AF4"/>
    <w:rsid w:val="00CC3283"/>
    <w:rsid w:val="00CC7BB1"/>
    <w:rsid w:val="00E12336"/>
    <w:rsid w:val="00E4056B"/>
    <w:rsid w:val="00EB1D10"/>
    <w:rsid w:val="00EF2C9D"/>
    <w:rsid w:val="00EF75EC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8F6711"/>
    <w:rPr>
      <w:b/>
      <w:bCs/>
    </w:rPr>
  </w:style>
  <w:style w:type="character" w:styleId="nfasis">
    <w:name w:val="Emphasis"/>
    <w:basedOn w:val="Fuentedeprrafopredeter"/>
    <w:qFormat/>
    <w:rsid w:val="008F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8F6711"/>
    <w:rPr>
      <w:b/>
      <w:bCs/>
    </w:rPr>
  </w:style>
  <w:style w:type="character" w:styleId="nfasis">
    <w:name w:val="Emphasis"/>
    <w:basedOn w:val="Fuentedeprrafopredeter"/>
    <w:qFormat/>
    <w:rsid w:val="008F67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Alicia</cp:lastModifiedBy>
  <cp:revision>3</cp:revision>
  <dcterms:created xsi:type="dcterms:W3CDTF">2019-04-30T09:35:00Z</dcterms:created>
  <dcterms:modified xsi:type="dcterms:W3CDTF">2019-05-06T19:31:00Z</dcterms:modified>
</cp:coreProperties>
</file>